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65" w:rsidRDefault="00C23E39" w:rsidP="00682065">
      <w:pPr>
        <w:jc w:val="center"/>
        <w:rPr>
          <w:sz w:val="28"/>
        </w:rPr>
      </w:pPr>
      <w:r w:rsidRPr="00C23E39">
        <w:rPr>
          <w:sz w:val="28"/>
        </w:rPr>
        <w:t>Computational Study of Reaction Mechanisms</w:t>
      </w:r>
    </w:p>
    <w:p w:rsidR="00C23E39" w:rsidRPr="00C23E39" w:rsidRDefault="00C23E39" w:rsidP="00682065">
      <w:pPr>
        <w:jc w:val="center"/>
        <w:rPr>
          <w:sz w:val="28"/>
        </w:rPr>
      </w:pPr>
      <w:proofErr w:type="gramStart"/>
      <w:r w:rsidRPr="00C23E39">
        <w:rPr>
          <w:sz w:val="28"/>
        </w:rPr>
        <w:t>on</w:t>
      </w:r>
      <w:proofErr w:type="gramEnd"/>
      <w:r w:rsidRPr="00C23E39">
        <w:rPr>
          <w:sz w:val="28"/>
        </w:rPr>
        <w:t xml:space="preserve"> Solid Oxide Fuel Cell Anodes</w:t>
      </w:r>
    </w:p>
    <w:p w:rsidR="00C23E39" w:rsidRDefault="00C23E39" w:rsidP="00C23E39">
      <w:pPr>
        <w:jc w:val="center"/>
      </w:pPr>
    </w:p>
    <w:p w:rsidR="00C23E39" w:rsidRPr="00C23E39" w:rsidRDefault="00C23E39" w:rsidP="00C23E39">
      <w:pPr>
        <w:jc w:val="center"/>
        <w:rPr>
          <w:sz w:val="22"/>
        </w:rPr>
      </w:pPr>
      <w:r w:rsidRPr="00C23E39">
        <w:rPr>
          <w:rFonts w:hint="eastAsia"/>
          <w:i/>
          <w:sz w:val="24"/>
        </w:rPr>
        <w:t>Teppei Ogura</w:t>
      </w:r>
    </w:p>
    <w:p w:rsidR="00C23E39" w:rsidRDefault="00C23E39" w:rsidP="00682065">
      <w:pPr>
        <w:jc w:val="center"/>
      </w:pPr>
      <w:r>
        <w:rPr>
          <w:rFonts w:hint="eastAsia"/>
        </w:rPr>
        <w:t>International Research Center for Hydrogen Energy, I</w:t>
      </w:r>
      <w:r w:rsidRPr="00C23E39">
        <w:rPr>
          <w:rFonts w:hint="eastAsia"/>
          <w:vertAlign w:val="superscript"/>
        </w:rPr>
        <w:t>2</w:t>
      </w:r>
      <w:r>
        <w:rPr>
          <w:rFonts w:hint="eastAsia"/>
        </w:rPr>
        <w:t>CNER FC Div</w:t>
      </w:r>
      <w:r w:rsidR="00682065">
        <w:rPr>
          <w:rFonts w:hint="eastAsia"/>
        </w:rPr>
        <w:t>.</w:t>
      </w:r>
      <w:r>
        <w:rPr>
          <w:rFonts w:hint="eastAsia"/>
        </w:rPr>
        <w:t>,</w:t>
      </w:r>
      <w:r w:rsidR="00682065">
        <w:rPr>
          <w:rFonts w:hint="eastAsia"/>
        </w:rPr>
        <w:t xml:space="preserve"> </w:t>
      </w:r>
      <w:r>
        <w:rPr>
          <w:rFonts w:hint="eastAsia"/>
        </w:rPr>
        <w:t>JST-CREST, NEXT-FC Center</w:t>
      </w:r>
    </w:p>
    <w:p w:rsidR="00C23E39" w:rsidRPr="00C23E39" w:rsidRDefault="00C23E39" w:rsidP="00C23E39">
      <w:pPr>
        <w:jc w:val="center"/>
      </w:pPr>
      <w:r>
        <w:rPr>
          <w:rFonts w:hint="eastAsia"/>
        </w:rPr>
        <w:t>teppei.ogura.094@m.kyushu-u.ac.jp</w:t>
      </w:r>
    </w:p>
    <w:p w:rsidR="00C23E39" w:rsidRDefault="00C23E39"/>
    <w:p w:rsidR="00060652" w:rsidRPr="000B6BC2" w:rsidRDefault="00C23E39" w:rsidP="00A30E66">
      <w:pPr>
        <w:ind w:firstLine="840"/>
      </w:pPr>
      <w:r w:rsidRPr="00C23E39">
        <w:t xml:space="preserve">Solid oxide fuel cells (SOFCs) have been expected to be most efficient and versatile system for chemical to electrical energy conversion. </w:t>
      </w:r>
      <w:r w:rsidR="00060652">
        <w:rPr>
          <w:rFonts w:hint="eastAsia"/>
        </w:rPr>
        <w:t xml:space="preserve">To get more efficiency and long-term durability for SOFCs, it is essential to understand fundamental physics and chemistry </w:t>
      </w:r>
      <w:r w:rsidR="00060652">
        <w:t>occurred</w:t>
      </w:r>
      <w:r w:rsidR="00060652">
        <w:rPr>
          <w:rFonts w:hint="eastAsia"/>
        </w:rPr>
        <w:t xml:space="preserve"> in SOFCs. Computational analysis such as density functional theory</w:t>
      </w:r>
      <w:r w:rsidR="000B6BC2">
        <w:rPr>
          <w:rFonts w:hint="eastAsia"/>
        </w:rPr>
        <w:t xml:space="preserve"> (DFT)</w:t>
      </w:r>
      <w:r w:rsidR="00060652">
        <w:rPr>
          <w:rFonts w:hint="eastAsia"/>
        </w:rPr>
        <w:t>, kinetic modeling, etc.</w:t>
      </w:r>
      <w:r w:rsidR="000B6BC2">
        <w:rPr>
          <w:rFonts w:hint="eastAsia"/>
        </w:rPr>
        <w:t>,</w:t>
      </w:r>
      <w:r w:rsidR="00060652">
        <w:rPr>
          <w:rFonts w:hint="eastAsia"/>
        </w:rPr>
        <w:t xml:space="preserve"> is one of the powerful tools to give us an atomic-scale insight. </w:t>
      </w:r>
      <w:r w:rsidR="000B6BC2">
        <w:rPr>
          <w:rFonts w:hint="eastAsia"/>
        </w:rPr>
        <w:t xml:space="preserve">Today, introduced are </w:t>
      </w:r>
      <w:r w:rsidR="00967A88">
        <w:rPr>
          <w:rFonts w:hint="eastAsia"/>
        </w:rPr>
        <w:t xml:space="preserve">some of </w:t>
      </w:r>
      <w:r w:rsidR="000B6BC2">
        <w:rPr>
          <w:rFonts w:hint="eastAsia"/>
        </w:rPr>
        <w:t xml:space="preserve">our challenges to </w:t>
      </w:r>
      <w:r w:rsidR="000B6BC2">
        <w:t>computationally</w:t>
      </w:r>
      <w:r w:rsidR="000B6BC2">
        <w:rPr>
          <w:rFonts w:hint="eastAsia"/>
        </w:rPr>
        <w:t xml:space="preserve"> simulate and explain </w:t>
      </w:r>
      <w:r w:rsidR="000B6BC2">
        <w:t>the</w:t>
      </w:r>
      <w:r w:rsidR="000B6BC2">
        <w:rPr>
          <w:rFonts w:hint="eastAsia"/>
        </w:rPr>
        <w:t xml:space="preserve"> complex phenomena </w:t>
      </w:r>
      <w:r w:rsidR="000B6BC2">
        <w:t>occurred</w:t>
      </w:r>
      <w:r w:rsidR="000B6BC2">
        <w:rPr>
          <w:rFonts w:hint="eastAsia"/>
        </w:rPr>
        <w:t xml:space="preserve"> in SOFCs, especially focusing on the anode.</w:t>
      </w:r>
    </w:p>
    <w:p w:rsidR="00C23E39" w:rsidRDefault="000B6BC2" w:rsidP="00A30E66">
      <w:pPr>
        <w:ind w:firstLine="840"/>
      </w:pPr>
      <w:r>
        <w:rPr>
          <w:rFonts w:hint="eastAsia"/>
        </w:rPr>
        <w:t xml:space="preserve">Our first </w:t>
      </w:r>
      <w:r>
        <w:t>challenge</w:t>
      </w:r>
      <w:r>
        <w:rPr>
          <w:rFonts w:hint="eastAsia"/>
        </w:rPr>
        <w:t xml:space="preserve"> is </w:t>
      </w:r>
      <w:r w:rsidR="00A30E66">
        <w:rPr>
          <w:rFonts w:hint="eastAsia"/>
        </w:rPr>
        <w:t xml:space="preserve">to understand the sulfur </w:t>
      </w:r>
      <w:r w:rsidR="00A30E66">
        <w:t>poisoning</w:t>
      </w:r>
      <w:r w:rsidR="00A30E66">
        <w:rPr>
          <w:rFonts w:hint="eastAsia"/>
        </w:rPr>
        <w:t xml:space="preserve"> and degradation mechanisms of </w:t>
      </w:r>
      <w:r w:rsidR="00A30E66">
        <w:t xml:space="preserve">nickel anode. </w:t>
      </w:r>
      <w:r w:rsidR="00C23E39" w:rsidRPr="00C23E39">
        <w:t xml:space="preserve">It is well known that fuel impurities in practical SOFC fuels such as sulfur compounds could cause </w:t>
      </w:r>
      <w:r w:rsidR="00A30E66">
        <w:rPr>
          <w:rFonts w:hint="eastAsia"/>
        </w:rPr>
        <w:t xml:space="preserve">the reduction of </w:t>
      </w:r>
      <w:r w:rsidR="00C23E39" w:rsidRPr="00C23E39">
        <w:t xml:space="preserve">SOFC </w:t>
      </w:r>
      <w:r w:rsidR="00A30E66">
        <w:rPr>
          <w:rFonts w:hint="eastAsia"/>
        </w:rPr>
        <w:t xml:space="preserve">power </w:t>
      </w:r>
      <w:r w:rsidR="00A30E66">
        <w:t>generation</w:t>
      </w:r>
      <w:r w:rsidR="00A30E66">
        <w:rPr>
          <w:rFonts w:hint="eastAsia"/>
        </w:rPr>
        <w:t xml:space="preserve"> performance</w:t>
      </w:r>
      <w:r w:rsidR="00C23E39" w:rsidRPr="00C23E39">
        <w:t xml:space="preserve">. </w:t>
      </w:r>
      <w:r w:rsidR="00967A88">
        <w:rPr>
          <w:rFonts w:hint="eastAsia"/>
        </w:rPr>
        <w:t>We have</w:t>
      </w:r>
      <w:r w:rsidR="006257CA" w:rsidRPr="006257CA">
        <w:t xml:space="preserve"> calculated the </w:t>
      </w:r>
      <w:r w:rsidR="006257CA">
        <w:rPr>
          <w:rFonts w:hint="eastAsia"/>
        </w:rPr>
        <w:t xml:space="preserve">sulfur effect on </w:t>
      </w:r>
      <w:r w:rsidR="006257CA" w:rsidRPr="006257CA">
        <w:t>reaction energies of main path in direct methane reforming process</w:t>
      </w:r>
      <w:r w:rsidR="00843A85">
        <w:rPr>
          <w:rFonts w:hint="eastAsia"/>
        </w:rPr>
        <w:t xml:space="preserve"> (see Fig.1)</w:t>
      </w:r>
      <w:r w:rsidR="006257CA">
        <w:rPr>
          <w:rFonts w:hint="eastAsia"/>
        </w:rPr>
        <w:t>.</w:t>
      </w:r>
      <w:r w:rsidR="006257CA" w:rsidRPr="006257CA">
        <w:t xml:space="preserve"> </w:t>
      </w:r>
      <w:r w:rsidR="006257CA">
        <w:rPr>
          <w:rFonts w:hint="eastAsia"/>
        </w:rPr>
        <w:t>T</w:t>
      </w:r>
      <w:r w:rsidR="006257CA" w:rsidRPr="006257CA">
        <w:t>he result shows direct methane reforming is critically suppressed by the surface sulfur atoms while hyd</w:t>
      </w:r>
      <w:r w:rsidR="006257CA">
        <w:t>rogen sulfide poisoning occurs</w:t>
      </w:r>
      <w:r w:rsidR="006257CA" w:rsidRPr="006257CA">
        <w:t xml:space="preserve">. </w:t>
      </w:r>
      <w:r w:rsidR="006257CA">
        <w:rPr>
          <w:rFonts w:hint="eastAsia"/>
        </w:rPr>
        <w:t xml:space="preserve">We also found that sulfur poisoning effect for hydrogen fuel is smaller than methane fuel due to the </w:t>
      </w:r>
      <w:r w:rsidR="00B31464">
        <w:rPr>
          <w:rFonts w:eastAsia="ＭＳ Ｐゴシック" w:hint="eastAsia"/>
          <w:color w:val="000000"/>
          <w:sz w:val="22"/>
        </w:rPr>
        <w:t xml:space="preserve">difference of </w:t>
      </w:r>
      <w:proofErr w:type="spellStart"/>
      <w:r w:rsidR="00B31464">
        <w:rPr>
          <w:rFonts w:eastAsia="ＭＳ Ｐゴシック"/>
          <w:color w:val="000000"/>
          <w:sz w:val="22"/>
        </w:rPr>
        <w:t>adsorb</w:t>
      </w:r>
      <w:r w:rsidR="00B31464">
        <w:rPr>
          <w:rFonts w:eastAsia="ＭＳ Ｐゴシック" w:hint="eastAsia"/>
          <w:color w:val="000000"/>
          <w:sz w:val="22"/>
        </w:rPr>
        <w:t>a</w:t>
      </w:r>
      <w:r w:rsidR="00B31464" w:rsidRPr="00845590">
        <w:rPr>
          <w:rFonts w:eastAsia="ＭＳ Ｐゴシック"/>
          <w:color w:val="000000"/>
          <w:sz w:val="22"/>
        </w:rPr>
        <w:t>nt</w:t>
      </w:r>
      <w:proofErr w:type="spellEnd"/>
      <w:r w:rsidR="00B31464" w:rsidRPr="00845590">
        <w:rPr>
          <w:rFonts w:eastAsia="ＭＳ Ｐゴシック"/>
          <w:color w:val="000000"/>
          <w:sz w:val="22"/>
        </w:rPr>
        <w:t xml:space="preserve"> size an</w:t>
      </w:r>
      <w:r w:rsidR="00B31464">
        <w:rPr>
          <w:rFonts w:eastAsia="ＭＳ Ｐゴシック"/>
          <w:color w:val="000000"/>
          <w:sz w:val="22"/>
        </w:rPr>
        <w:t>d its electronic property</w:t>
      </w:r>
      <w:r w:rsidR="00B31464">
        <w:rPr>
          <w:rFonts w:eastAsia="ＭＳ Ｐゴシック" w:hint="eastAsia"/>
          <w:color w:val="000000"/>
          <w:sz w:val="22"/>
        </w:rPr>
        <w:t xml:space="preserve"> after dissociation</w:t>
      </w:r>
      <w:r w:rsidR="006257CA">
        <w:rPr>
          <w:rFonts w:eastAsia="ＭＳ Ｐゴシック" w:hint="eastAsia"/>
          <w:color w:val="000000"/>
          <w:sz w:val="22"/>
        </w:rPr>
        <w:t>.</w:t>
      </w:r>
    </w:p>
    <w:p w:rsidR="00B31464" w:rsidRDefault="0052469D">
      <w:r>
        <w:rPr>
          <w:rFonts w:hint="eastAsia"/>
        </w:rPr>
        <w:tab/>
        <w:t>S</w:t>
      </w:r>
      <w:r w:rsidR="00B31464">
        <w:rPr>
          <w:rFonts w:hint="eastAsia"/>
        </w:rPr>
        <w:t xml:space="preserve">econd challenge is to develop the coverage-dependent kinetic simulation algorism. At the specific situation such as poisoning, </w:t>
      </w:r>
      <w:proofErr w:type="spellStart"/>
      <w:r w:rsidR="00B31464">
        <w:rPr>
          <w:rFonts w:hint="eastAsia"/>
        </w:rPr>
        <w:t>adsorbant-adsorbant</w:t>
      </w:r>
      <w:proofErr w:type="spellEnd"/>
      <w:r w:rsidR="00B31464">
        <w:rPr>
          <w:rFonts w:hint="eastAsia"/>
        </w:rPr>
        <w:t xml:space="preserve"> interaction is not </w:t>
      </w:r>
      <w:r w:rsidR="00B31464">
        <w:t>negligible</w:t>
      </w:r>
      <w:r w:rsidR="00B31464">
        <w:rPr>
          <w:rFonts w:hint="eastAsia"/>
        </w:rPr>
        <w:t xml:space="preserve"> due to the high surface c</w:t>
      </w:r>
      <w:bookmarkStart w:id="0" w:name="_GoBack"/>
      <w:bookmarkEnd w:id="0"/>
      <w:r w:rsidR="00B31464">
        <w:rPr>
          <w:rFonts w:hint="eastAsia"/>
        </w:rPr>
        <w:t xml:space="preserve">overage. </w:t>
      </w:r>
      <w:r w:rsidR="00843A85">
        <w:rPr>
          <w:rFonts w:hint="eastAsia"/>
        </w:rPr>
        <w:t>Thus, w</w:t>
      </w:r>
      <w:r w:rsidR="00B31464">
        <w:rPr>
          <w:rFonts w:hint="eastAsia"/>
        </w:rPr>
        <w:t>e treated t</w:t>
      </w:r>
      <w:r w:rsidR="00B31464" w:rsidRPr="00B31464">
        <w:t>he thermodynamic and kinetic properties of surface intermediates and reactions as a function of total surface coverage.</w:t>
      </w:r>
      <w:r w:rsidR="00B31464" w:rsidRPr="00B31464">
        <w:rPr>
          <w:rFonts w:hint="eastAsia"/>
        </w:rPr>
        <w:t xml:space="preserve"> </w:t>
      </w:r>
      <w:r w:rsidR="00843A85">
        <w:rPr>
          <w:rFonts w:hint="eastAsia"/>
        </w:rPr>
        <w:t xml:space="preserve">Coverage-dependent simulations were </w:t>
      </w:r>
      <w:r w:rsidR="00843A85">
        <w:t>performed</w:t>
      </w:r>
      <w:r w:rsidR="00843A85">
        <w:rPr>
          <w:rFonts w:hint="eastAsia"/>
        </w:rPr>
        <w:t xml:space="preserve"> under </w:t>
      </w:r>
      <w:r w:rsidR="00843A85">
        <w:t>sulfur</w:t>
      </w:r>
      <w:r w:rsidR="00843A85">
        <w:rPr>
          <w:rFonts w:hint="eastAsia"/>
        </w:rPr>
        <w:t xml:space="preserve"> poisoning conditions (see Fig.2). </w:t>
      </w:r>
      <w:r w:rsidR="00B31464">
        <w:rPr>
          <w:rFonts w:hint="eastAsia"/>
        </w:rPr>
        <w:t xml:space="preserve">The sulfur coverage gradually goes up </w:t>
      </w:r>
      <w:r w:rsidR="00843A85">
        <w:rPr>
          <w:rFonts w:hint="eastAsia"/>
        </w:rPr>
        <w:t>with</w:t>
      </w:r>
      <w:r w:rsidR="00B31464">
        <w:rPr>
          <w:rFonts w:hint="eastAsia"/>
        </w:rPr>
        <w:t xml:space="preserve"> increase of hydrogen sulfide, which is qualitatively agreed with experimental measurement.</w:t>
      </w:r>
    </w:p>
    <w:p w:rsidR="005D40A8" w:rsidRDefault="00D64D1E">
      <w:r w:rsidRPr="005D40A8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92075</wp:posOffset>
            </wp:positionV>
            <wp:extent cx="3657600" cy="244665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2886"/>
                    <a:stretch/>
                  </pic:blipFill>
                  <pic:spPr bwMode="auto">
                    <a:xfrm>
                      <a:off x="0" y="0"/>
                      <a:ext cx="3657600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D40A8" w:rsidRPr="005D40A8">
        <w:rPr>
          <w:noProof/>
        </w:rPr>
        <w:drawing>
          <wp:inline distT="0" distB="0" distL="0" distR="0">
            <wp:extent cx="2865728" cy="2238375"/>
            <wp:effectExtent l="0" t="0" r="0" b="0"/>
            <wp:docPr id="113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732" cy="224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D40A8" w:rsidRDefault="005D40A8">
      <w:r>
        <w:rPr>
          <w:rFonts w:hint="eastAsia"/>
        </w:rPr>
        <w:t xml:space="preserve">Fig.1 Energetics change in methane reforming  </w:t>
      </w:r>
      <w:r w:rsidR="00D64D1E">
        <w:rPr>
          <w:rFonts w:hint="eastAsia"/>
        </w:rPr>
        <w:t xml:space="preserve">    </w:t>
      </w:r>
      <w:r>
        <w:rPr>
          <w:rFonts w:hint="eastAsia"/>
        </w:rPr>
        <w:t xml:space="preserve">Fig.2 </w:t>
      </w:r>
      <w:r w:rsidR="00D64D1E">
        <w:rPr>
          <w:rFonts w:hint="eastAsia"/>
        </w:rPr>
        <w:t>Example of coverage dependent</w:t>
      </w:r>
    </w:p>
    <w:p w:rsidR="005D40A8" w:rsidRPr="00A30E66" w:rsidRDefault="005D40A8"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by</w:t>
      </w:r>
      <w:proofErr w:type="gramEnd"/>
      <w:r>
        <w:rPr>
          <w:rFonts w:hint="eastAsia"/>
        </w:rPr>
        <w:t xml:space="preserve"> sulfur poisoning</w:t>
      </w:r>
      <w:r w:rsidR="00D64D1E">
        <w:rPr>
          <w:rFonts w:hint="eastAsia"/>
        </w:rPr>
        <w:t xml:space="preserve">                                kinetic simulation</w:t>
      </w:r>
    </w:p>
    <w:sectPr w:rsidR="005D40A8" w:rsidRPr="00A30E66" w:rsidSect="004C594C">
      <w:headerReference w:type="default" r:id="rId9"/>
      <w:pgSz w:w="11906" w:h="16838"/>
      <w:pgMar w:top="1304" w:right="1077" w:bottom="1304" w:left="1077" w:header="737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94C" w:rsidRDefault="004C594C" w:rsidP="004C594C">
      <w:r>
        <w:separator/>
      </w:r>
    </w:p>
  </w:endnote>
  <w:endnote w:type="continuationSeparator" w:id="1">
    <w:p w:rsidR="004C594C" w:rsidRDefault="004C594C" w:rsidP="004C5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94C" w:rsidRDefault="004C594C" w:rsidP="004C594C">
      <w:r>
        <w:separator/>
      </w:r>
    </w:p>
  </w:footnote>
  <w:footnote w:type="continuationSeparator" w:id="1">
    <w:p w:rsidR="004C594C" w:rsidRDefault="004C594C" w:rsidP="004C5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94C" w:rsidRDefault="004C594C" w:rsidP="004C594C">
    <w:pPr>
      <w:jc w:val="right"/>
      <w:rPr>
        <w:rFonts w:ascii="Calibri" w:hAnsi="Calibri"/>
        <w:lang w:val="nb-NO"/>
      </w:rPr>
    </w:pPr>
    <w:r>
      <w:rPr>
        <w:rFonts w:ascii="Calibri" w:hAnsi="Calibri"/>
        <w:lang w:val="nb-NO"/>
      </w:rPr>
      <w:t>I</w:t>
    </w:r>
    <w:r w:rsidRPr="00FB06AE">
      <w:rPr>
        <w:rFonts w:ascii="Calibri" w:hAnsi="Calibri"/>
        <w:vertAlign w:val="superscript"/>
        <w:lang w:val="nb-NO"/>
      </w:rPr>
      <w:t>2</w:t>
    </w:r>
    <w:r>
      <w:rPr>
        <w:rFonts w:ascii="Calibri" w:hAnsi="Calibri"/>
        <w:lang w:val="nb-NO"/>
      </w:rPr>
      <w:t>CNER</w:t>
    </w:r>
  </w:p>
  <w:p w:rsidR="004C594C" w:rsidRDefault="004C594C" w:rsidP="004C594C">
    <w:pPr>
      <w:ind w:right="105"/>
      <w:jc w:val="right"/>
      <w:rPr>
        <w:rFonts w:ascii="Calibri" w:hAnsi="Calibri"/>
        <w:lang w:val="nb-NO"/>
      </w:rPr>
    </w:pPr>
    <w:r>
      <w:rPr>
        <w:rFonts w:ascii="Calibri" w:hAnsi="Calibri"/>
        <w:lang w:val="nb-NO"/>
      </w:rPr>
      <w:t>Institute Interest Seminar Series</w:t>
    </w:r>
  </w:p>
  <w:p w:rsidR="004C594C" w:rsidRPr="004C594C" w:rsidRDefault="004C594C" w:rsidP="004C594C">
    <w:pPr>
      <w:wordWrap w:val="0"/>
      <w:ind w:right="105"/>
      <w:jc w:val="right"/>
      <w:rPr>
        <w:rFonts w:ascii="Calibri" w:hAnsi="Calibri" w:hint="eastAsia"/>
        <w:lang w:val="nb-NO"/>
      </w:rPr>
    </w:pPr>
    <w:r>
      <w:rPr>
        <w:rFonts w:ascii="Calibri" w:hAnsi="Calibri"/>
        <w:lang w:val="nb-NO"/>
      </w:rPr>
      <w:t>Ju</w:t>
    </w:r>
    <w:r>
      <w:rPr>
        <w:rFonts w:ascii="Calibri" w:hAnsi="Calibri" w:hint="eastAsia"/>
        <w:lang w:val="nb-NO"/>
      </w:rPr>
      <w:t>ly 25</w:t>
    </w:r>
    <w:r>
      <w:rPr>
        <w:rFonts w:ascii="Calibri" w:hAnsi="Calibri"/>
        <w:lang w:val="nb-NO"/>
      </w:rPr>
      <w:t>, 2012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E39"/>
    <w:rsid w:val="00060652"/>
    <w:rsid w:val="000B6BC2"/>
    <w:rsid w:val="004C594C"/>
    <w:rsid w:val="0052469D"/>
    <w:rsid w:val="005D40A8"/>
    <w:rsid w:val="006257CA"/>
    <w:rsid w:val="006642DF"/>
    <w:rsid w:val="00682065"/>
    <w:rsid w:val="007B5CEB"/>
    <w:rsid w:val="00843A85"/>
    <w:rsid w:val="00967A88"/>
    <w:rsid w:val="00A30E66"/>
    <w:rsid w:val="00B31464"/>
    <w:rsid w:val="00C23E39"/>
    <w:rsid w:val="00C70297"/>
    <w:rsid w:val="00D64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0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0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C5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C594C"/>
  </w:style>
  <w:style w:type="paragraph" w:styleId="a7">
    <w:name w:val="footer"/>
    <w:basedOn w:val="a"/>
    <w:link w:val="a8"/>
    <w:uiPriority w:val="99"/>
    <w:semiHidden/>
    <w:unhideWhenUsed/>
    <w:rsid w:val="004C59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C5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0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0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25081-EE59-41EA-AE77-37261584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Ogura</dc:creator>
  <cp:lastModifiedBy>8964919405</cp:lastModifiedBy>
  <cp:revision>6</cp:revision>
  <dcterms:created xsi:type="dcterms:W3CDTF">2012-07-24T01:18:00Z</dcterms:created>
  <dcterms:modified xsi:type="dcterms:W3CDTF">2012-07-24T07:44:00Z</dcterms:modified>
</cp:coreProperties>
</file>